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1063" w:rsidRDefault="00DF1063" w:rsidP="00DF1063">
      <w:r w:rsidRPr="00DF1063">
        <w:rPr>
          <w:b/>
          <w:bCs/>
        </w:rPr>
        <w:t>Цель.</w:t>
      </w:r>
      <w:r w:rsidRPr="00DF1063">
        <w:t xml:space="preserve"> </w:t>
      </w:r>
      <w:r>
        <w:t>Оценка использования анализа характера желудочковой экстрасистолии (ЖЭ) для выбора дифференцированной терапии желудочковой эктопии у пациентов без структурных изменений сердца.</w:t>
      </w:r>
    </w:p>
    <w:p w:rsidR="00DF1063" w:rsidRDefault="00DF1063" w:rsidP="00DF1063">
      <w:r w:rsidRPr="00DF1063">
        <w:rPr>
          <w:rStyle w:val="Bold"/>
        </w:rPr>
        <w:t>Материал и методы</w:t>
      </w:r>
      <w:r>
        <w:rPr>
          <w:rStyle w:val="Bold"/>
          <w:i/>
          <w:iCs/>
        </w:rPr>
        <w:t>.</w:t>
      </w:r>
      <w:r>
        <w:t xml:space="preserve"> Наблюдалось 2</w:t>
      </w:r>
      <w:bookmarkStart w:id="0" w:name="_GoBack"/>
      <w:bookmarkEnd w:id="0"/>
      <w:r>
        <w:t>48 пациентов в возрасте от 20 до 43 лет без структурных изменений сердца с ЖЭ IV</w:t>
      </w:r>
      <w:r>
        <w:rPr>
          <w:rFonts w:ascii="Arial" w:hAnsi="Arial" w:cs="Arial"/>
        </w:rPr>
        <w:t> </w:t>
      </w:r>
      <w:r>
        <w:t>–V классов по классификации B. Rayn (1984). Выбор противоаритмической терапии ЖЭ проводился путем тестирования антиаритмических препаратов, причем их эффективность оценивалась по данным суточного мониторирования электрокардиограммы. Анализ ЖЭ проводился по общепринятым критериям, включающих определение продолжительности комплекса QRS ЖЭ (QRSжэ) и синусового ритма (QRSср.). Конечной точкой наблюдения являлась продолжительность сохранения положительного антиаритмического эффекта терапии ЖЭ используемых противоаритмических средств.</w:t>
      </w:r>
    </w:p>
    <w:p w:rsidR="00DF1063" w:rsidRDefault="00DF1063" w:rsidP="00DF1063">
      <w:r w:rsidRPr="00DF1063">
        <w:rPr>
          <w:b/>
          <w:bCs/>
        </w:rPr>
        <w:t>Результаты.</w:t>
      </w:r>
      <w:r>
        <w:t xml:space="preserve"> У 29,84</w:t>
      </w:r>
      <w:r>
        <w:rPr>
          <w:rFonts w:ascii="Arial" w:hAnsi="Arial" w:cs="Arial"/>
        </w:rPr>
        <w:t> </w:t>
      </w:r>
      <w:r>
        <w:t>% пациентов наибольший положительный антиаритмический эффект терапии ЖЭ наблюдался при использовании препаратов II класса, у 43,95</w:t>
      </w:r>
      <w:r>
        <w:rPr>
          <w:rFonts w:ascii="Arial" w:hAnsi="Arial" w:cs="Arial"/>
        </w:rPr>
        <w:t> </w:t>
      </w:r>
      <w:r>
        <w:t>%</w:t>
      </w:r>
      <w:r>
        <w:rPr>
          <w:rFonts w:ascii="Arial" w:hAnsi="Arial" w:cs="Arial"/>
        </w:rPr>
        <w:t> </w:t>
      </w:r>
      <w:r>
        <w:t>—</w:t>
      </w:r>
      <w:r>
        <w:rPr>
          <w:rFonts w:ascii="Arial" w:hAnsi="Arial" w:cs="Arial"/>
        </w:rPr>
        <w:t> </w:t>
      </w:r>
      <w:r>
        <w:rPr>
          <w:rFonts w:ascii="DINPro-Italic" w:hAnsi="DINPro-Italic" w:cs="DINPro-Italic"/>
        </w:rPr>
        <w:t>​</w:t>
      </w:r>
      <w:r>
        <w:t>I класса, у остальных</w:t>
      </w:r>
      <w:r>
        <w:rPr>
          <w:rFonts w:ascii="Arial" w:hAnsi="Arial" w:cs="Arial"/>
        </w:rPr>
        <w:t> </w:t>
      </w:r>
      <w:r>
        <w:t>—</w:t>
      </w:r>
      <w:r>
        <w:rPr>
          <w:rFonts w:ascii="Arial" w:hAnsi="Arial" w:cs="Arial"/>
        </w:rPr>
        <w:t> </w:t>
      </w:r>
      <w:r>
        <w:rPr>
          <w:rFonts w:ascii="DINPro-Italic" w:hAnsi="DINPro-Italic" w:cs="DINPro-Italic"/>
        </w:rPr>
        <w:t>​</w:t>
      </w:r>
      <w:r>
        <w:t>III класса. Положительная прогностическая значимость положительного эффекта использования препаратов III класса при продолжительности комплекса QRSжэ</w:t>
      </w:r>
      <w:r>
        <w:rPr>
          <w:rFonts w:ascii="Arial" w:hAnsi="Arial" w:cs="Arial"/>
        </w:rPr>
        <w:t>  </w:t>
      </w:r>
      <w:r>
        <w:rPr>
          <w:rFonts w:ascii="DINPro-Italic" w:hAnsi="DINPro-Italic" w:cs="DINPro-Italic"/>
        </w:rPr>
        <w:t>≥</w:t>
      </w:r>
      <w:r>
        <w:rPr>
          <w:rFonts w:ascii="Arial" w:hAnsi="Arial" w:cs="Arial"/>
        </w:rPr>
        <w:t>  </w:t>
      </w:r>
      <w:r>
        <w:t>160 м/с составила 89,23</w:t>
      </w:r>
      <w:r>
        <w:rPr>
          <w:rFonts w:ascii="Arial" w:hAnsi="Arial" w:cs="Arial"/>
        </w:rPr>
        <w:t> </w:t>
      </w:r>
      <w:r>
        <w:t>%, а применения средств I и II класса</w:t>
      </w:r>
      <w:r>
        <w:rPr>
          <w:rFonts w:ascii="Arial" w:hAnsi="Arial" w:cs="Arial"/>
        </w:rPr>
        <w:t> </w:t>
      </w:r>
      <w:r>
        <w:t>—</w:t>
      </w:r>
      <w:r>
        <w:rPr>
          <w:rFonts w:ascii="Arial" w:hAnsi="Arial" w:cs="Arial"/>
        </w:rPr>
        <w:t> </w:t>
      </w:r>
      <w:r>
        <w:rPr>
          <w:rFonts w:ascii="DINPro-Italic" w:hAnsi="DINPro-Italic" w:cs="DINPro-Italic"/>
        </w:rPr>
        <w:t>​</w:t>
      </w:r>
      <w:r>
        <w:t>QRSжэ</w:t>
      </w:r>
      <w:r>
        <w:rPr>
          <w:rFonts w:ascii="Arial" w:hAnsi="Arial" w:cs="Arial"/>
        </w:rPr>
        <w:t>  </w:t>
      </w:r>
      <w:r>
        <w:rPr>
          <w:rFonts w:ascii="DINPro-Italic" w:hAnsi="DINPro-Italic" w:cs="DINPro-Italic"/>
        </w:rPr>
        <w:t>≤</w:t>
      </w:r>
      <w:r>
        <w:rPr>
          <w:rFonts w:ascii="Arial" w:hAnsi="Arial" w:cs="Arial"/>
        </w:rPr>
        <w:t>  </w:t>
      </w:r>
      <w:r>
        <w:t>159 м/с составила 95,63</w:t>
      </w:r>
      <w:r>
        <w:rPr>
          <w:rFonts w:ascii="Arial" w:hAnsi="Arial" w:cs="Arial"/>
        </w:rPr>
        <w:t> </w:t>
      </w:r>
      <w:r>
        <w:t>%. У 22,58</w:t>
      </w:r>
      <w:r>
        <w:rPr>
          <w:rFonts w:ascii="Arial" w:hAnsi="Arial" w:cs="Arial"/>
        </w:rPr>
        <w:t> </w:t>
      </w:r>
      <w:r>
        <w:t>% пациентов положительный противоаритмический эффект сохранялся в течение 1 года (в среднем 0,</w:t>
      </w:r>
      <w:proofErr w:type="gramStart"/>
      <w:r>
        <w:t>86</w:t>
      </w:r>
      <w:r>
        <w:rPr>
          <w:rFonts w:ascii="Arial" w:hAnsi="Arial" w:cs="Arial"/>
        </w:rPr>
        <w:t>  </w:t>
      </w:r>
      <w:r>
        <w:t>±</w:t>
      </w:r>
      <w:proofErr w:type="gramEnd"/>
      <w:r>
        <w:rPr>
          <w:rFonts w:ascii="Arial" w:hAnsi="Arial" w:cs="Arial"/>
        </w:rPr>
        <w:t>  </w:t>
      </w:r>
      <w:r>
        <w:t>0,05 лет), у остальных</w:t>
      </w:r>
      <w:r>
        <w:rPr>
          <w:rFonts w:ascii="Arial" w:hAnsi="Arial" w:cs="Arial"/>
        </w:rPr>
        <w:t> </w:t>
      </w:r>
      <w:r>
        <w:t>—</w:t>
      </w:r>
      <w:r>
        <w:rPr>
          <w:rFonts w:ascii="Arial" w:hAnsi="Arial" w:cs="Arial"/>
        </w:rPr>
        <w:t> </w:t>
      </w:r>
      <w:r>
        <w:rPr>
          <w:rFonts w:ascii="DINPro-Italic" w:hAnsi="DINPro-Italic" w:cs="DINPro-Italic"/>
        </w:rPr>
        <w:t>​</w:t>
      </w:r>
      <w:r>
        <w:t>от 1 года до 5 лет (в среднем 3,71</w:t>
      </w:r>
      <w:r>
        <w:rPr>
          <w:rFonts w:ascii="Arial" w:hAnsi="Arial" w:cs="Arial"/>
        </w:rPr>
        <w:t>  </w:t>
      </w:r>
      <w:r>
        <w:t>±</w:t>
      </w:r>
      <w:r>
        <w:rPr>
          <w:rFonts w:ascii="Arial" w:hAnsi="Arial" w:cs="Arial"/>
        </w:rPr>
        <w:t>  </w:t>
      </w:r>
      <w:r>
        <w:t>0,11 лет). Длительность сохранения положительного эффекта терапии ЖЭ антиаритмическими препаратами III класса в течение 1 года и более высоко коррелировала с продолжительностью комплекса QRSжэ</w:t>
      </w:r>
      <w:r>
        <w:rPr>
          <w:rFonts w:ascii="Arial" w:hAnsi="Arial" w:cs="Arial"/>
        </w:rPr>
        <w:t>  </w:t>
      </w:r>
      <w:r>
        <w:rPr>
          <w:rFonts w:ascii="DINPro-Italic" w:hAnsi="DINPro-Italic" w:cs="DINPro-Italic"/>
        </w:rPr>
        <w:t>≤</w:t>
      </w:r>
      <w:r>
        <w:rPr>
          <w:rFonts w:ascii="Arial" w:hAnsi="Arial" w:cs="Arial"/>
        </w:rPr>
        <w:t>  </w:t>
      </w:r>
      <w:r>
        <w:t>165 м/с (r</w:t>
      </w:r>
      <w:r>
        <w:rPr>
          <w:rFonts w:ascii="Arial" w:hAnsi="Arial" w:cs="Arial"/>
        </w:rPr>
        <w:t>  </w:t>
      </w:r>
      <w:r>
        <w:t>=</w:t>
      </w:r>
      <w:r>
        <w:rPr>
          <w:rFonts w:ascii="Arial" w:hAnsi="Arial" w:cs="Arial"/>
        </w:rPr>
        <w:t>  </w:t>
      </w:r>
      <w:r>
        <w:t>0,91), в то время как I и II классов</w:t>
      </w:r>
      <w:r>
        <w:rPr>
          <w:rFonts w:ascii="Arial" w:hAnsi="Arial" w:cs="Arial"/>
        </w:rPr>
        <w:t> </w:t>
      </w:r>
      <w:r>
        <w:t>—</w:t>
      </w:r>
      <w:r>
        <w:rPr>
          <w:rFonts w:ascii="Arial" w:hAnsi="Arial" w:cs="Arial"/>
        </w:rPr>
        <w:t> </w:t>
      </w:r>
      <w:r>
        <w:rPr>
          <w:rFonts w:ascii="DINPro-Italic" w:hAnsi="DINPro-Italic" w:cs="DINPro-Italic"/>
        </w:rPr>
        <w:t>​</w:t>
      </w:r>
      <w:r>
        <w:t>QRSжэ</w:t>
      </w:r>
      <w:r>
        <w:rPr>
          <w:rFonts w:ascii="Arial" w:hAnsi="Arial" w:cs="Arial"/>
        </w:rPr>
        <w:t>  </w:t>
      </w:r>
      <w:r>
        <w:rPr>
          <w:rFonts w:ascii="DINPro-Italic" w:hAnsi="DINPro-Italic" w:cs="DINPro-Italic"/>
        </w:rPr>
        <w:t>≤</w:t>
      </w:r>
      <w:r>
        <w:rPr>
          <w:rFonts w:ascii="Arial" w:hAnsi="Arial" w:cs="Arial"/>
        </w:rPr>
        <w:t>  </w:t>
      </w:r>
      <w:r>
        <w:t>145 м/с (r</w:t>
      </w:r>
      <w:r>
        <w:rPr>
          <w:rFonts w:ascii="Arial" w:hAnsi="Arial" w:cs="Arial"/>
        </w:rPr>
        <w:t>  </w:t>
      </w:r>
      <w:r>
        <w:t>=</w:t>
      </w:r>
      <w:r>
        <w:rPr>
          <w:rFonts w:ascii="Arial" w:hAnsi="Arial" w:cs="Arial"/>
        </w:rPr>
        <w:t>  </w:t>
      </w:r>
      <w:r>
        <w:t>0,92).</w:t>
      </w:r>
    </w:p>
    <w:p w:rsidR="00DF1063" w:rsidRDefault="00DF1063" w:rsidP="00DF1063">
      <w:r w:rsidRPr="00DF1063">
        <w:rPr>
          <w:b/>
          <w:bCs/>
        </w:rPr>
        <w:t>Заключение.</w:t>
      </w:r>
      <w:r>
        <w:t xml:space="preserve"> Всем пациентам без структурных изменений сердца при выборе антиаритмической терапии ЖЭ следует учитывать продолжительность QRSжэ. Длительность сохранения положительного эффекта терапии ЖЭ течение 1 года и более высоко коррелировала (при r</w:t>
      </w:r>
      <w:r>
        <w:rPr>
          <w:rFonts w:ascii="Arial" w:hAnsi="Arial" w:cs="Arial"/>
        </w:rPr>
        <w:t>  </w:t>
      </w:r>
      <w:r>
        <w:t>&gt;</w:t>
      </w:r>
      <w:r>
        <w:rPr>
          <w:rFonts w:ascii="Arial" w:hAnsi="Arial" w:cs="Arial"/>
        </w:rPr>
        <w:t>  </w:t>
      </w:r>
      <w:r>
        <w:t>0,90) с использованием препаратов III класса при продолжительности комплекса QRSжэ</w:t>
      </w:r>
      <w:r>
        <w:rPr>
          <w:rFonts w:ascii="Arial" w:hAnsi="Arial" w:cs="Arial"/>
        </w:rPr>
        <w:t>  </w:t>
      </w:r>
      <w:r>
        <w:rPr>
          <w:rFonts w:ascii="DINPro-Italic" w:hAnsi="DINPro-Italic" w:cs="DINPro-Italic"/>
        </w:rPr>
        <w:t>≤</w:t>
      </w:r>
      <w:r>
        <w:rPr>
          <w:rFonts w:ascii="Arial" w:hAnsi="Arial" w:cs="Arial"/>
        </w:rPr>
        <w:t>  </w:t>
      </w:r>
      <w:r>
        <w:t>165 м/с, а I и II классов</w:t>
      </w:r>
      <w:r>
        <w:rPr>
          <w:rFonts w:ascii="Arial" w:hAnsi="Arial" w:cs="Arial"/>
        </w:rPr>
        <w:t> </w:t>
      </w:r>
      <w:r>
        <w:t>—</w:t>
      </w:r>
      <w:r>
        <w:rPr>
          <w:rFonts w:ascii="Arial" w:hAnsi="Arial" w:cs="Arial"/>
        </w:rPr>
        <w:t> </w:t>
      </w:r>
      <w:r>
        <w:rPr>
          <w:rFonts w:ascii="DINPro-Italic" w:hAnsi="DINPro-Italic" w:cs="DINPro-Italic"/>
        </w:rPr>
        <w:t>​</w:t>
      </w:r>
      <w:r>
        <w:t>QRSжэ</w:t>
      </w:r>
      <w:r>
        <w:rPr>
          <w:rFonts w:ascii="Arial" w:hAnsi="Arial" w:cs="Arial"/>
        </w:rPr>
        <w:t>  </w:t>
      </w:r>
      <w:r>
        <w:rPr>
          <w:rFonts w:ascii="DINPro-Italic" w:hAnsi="DINPro-Italic" w:cs="DINPro-Italic"/>
        </w:rPr>
        <w:t>≤</w:t>
      </w:r>
      <w:r>
        <w:rPr>
          <w:rFonts w:ascii="Arial" w:hAnsi="Arial" w:cs="Arial"/>
        </w:rPr>
        <w:t>  </w:t>
      </w:r>
      <w:r>
        <w:t>145 м/с.</w:t>
      </w:r>
    </w:p>
    <w:p w:rsidR="00DF1063" w:rsidRDefault="00DF1063" w:rsidP="00DF1063">
      <w:r w:rsidRPr="00DF1063">
        <w:rPr>
          <w:b/>
          <w:bCs/>
        </w:rPr>
        <w:t>Ключевые слова:</w:t>
      </w:r>
      <w:r>
        <w:t xml:space="preserve"> желудочковая экстрасистолия, дифференцированный выбор антиаритмической терапии.</w:t>
      </w:r>
    </w:p>
    <w:p w:rsidR="00BB414A" w:rsidRPr="00DF1063" w:rsidRDefault="00BB414A" w:rsidP="00DF1063"/>
    <w:sectPr w:rsidR="00BB414A" w:rsidRPr="00DF1063" w:rsidSect="002E469E">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INPro-Italic">
    <w:panose1 w:val="020B0504020101020102"/>
    <w:charset w:val="00"/>
    <w:family w:val="swiss"/>
    <w:notTrueType/>
    <w:pitch w:val="variable"/>
    <w:sig w:usb0="A00002BF" w:usb1="4000207B" w:usb2="00000000" w:usb3="00000000" w:csb0="00000097"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CB2"/>
    <w:rsid w:val="000C5CB2"/>
    <w:rsid w:val="006805F9"/>
    <w:rsid w:val="006A7322"/>
    <w:rsid w:val="00BB414A"/>
    <w:rsid w:val="00C93EB0"/>
    <w:rsid w:val="00DF10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EE862"/>
  <w15:chartTrackingRefBased/>
  <w15:docId w15:val="{2A674AFF-28FA-4FEB-AFDA-4B9EED609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adText">
    <w:name w:val="LeadText (СТАРТ)"/>
    <w:basedOn w:val="a"/>
    <w:uiPriority w:val="99"/>
    <w:rsid w:val="000C5CB2"/>
    <w:pPr>
      <w:shd w:val="clear" w:color="auto" w:fill="000000"/>
      <w:autoSpaceDE w:val="0"/>
      <w:autoSpaceDN w:val="0"/>
      <w:adjustRightInd w:val="0"/>
      <w:spacing w:after="0" w:line="280" w:lineRule="atLeast"/>
      <w:ind w:left="113" w:right="113"/>
      <w:jc w:val="both"/>
      <w:textAlignment w:val="center"/>
    </w:pPr>
    <w:rPr>
      <w:rFonts w:ascii="DINPro-Italic" w:hAnsi="DINPro-Italic" w:cs="DINPro-Italic"/>
      <w:i/>
      <w:iCs/>
      <w:color w:val="000000"/>
      <w:sz w:val="18"/>
      <w:szCs w:val="18"/>
    </w:rPr>
  </w:style>
  <w:style w:type="character" w:customStyle="1" w:styleId="black">
    <w:name w:val="black"/>
    <w:uiPriority w:val="99"/>
    <w:rsid w:val="000C5CB2"/>
  </w:style>
  <w:style w:type="character" w:customStyle="1" w:styleId="Bold">
    <w:name w:val="Bold"/>
    <w:uiPriority w:val="99"/>
    <w:rsid w:val="000C5CB2"/>
    <w:rPr>
      <w:b/>
      <w:bCs/>
      <w:u w:val="none"/>
      <w:vertAlign w:val="baseline"/>
    </w:rPr>
  </w:style>
  <w:style w:type="paragraph" w:styleId="a3">
    <w:name w:val="No Spacing"/>
    <w:uiPriority w:val="1"/>
    <w:qFormat/>
    <w:rsid w:val="000C5C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330</Words>
  <Characters>1883</Characters>
  <Application>Microsoft Office Word</Application>
  <DocSecurity>0</DocSecurity>
  <Lines>15</Lines>
  <Paragraphs>4</Paragraphs>
  <ScaleCrop>false</ScaleCrop>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dc:creator>
  <cp:keywords/>
  <dc:description/>
  <cp:lastModifiedBy>Boris</cp:lastModifiedBy>
  <cp:revision>2</cp:revision>
  <dcterms:created xsi:type="dcterms:W3CDTF">2020-04-06T11:57:00Z</dcterms:created>
  <dcterms:modified xsi:type="dcterms:W3CDTF">2020-04-06T11:57:00Z</dcterms:modified>
</cp:coreProperties>
</file>